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A92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80" w:lineRule="exact"/>
        <w:ind w:left="0" w:right="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p>
    <w:p w14:paraId="65D987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7" w:afterLines="50" w:afterAutospacing="0" w:line="680" w:lineRule="exact"/>
        <w:ind w:left="0" w:right="0"/>
        <w:jc w:val="center"/>
        <w:textAlignment w:val="auto"/>
        <w:rPr>
          <w:rFonts w:hint="eastAsia" w:ascii="方正小标宋简体" w:hAnsi="方正小标宋简体" w:eastAsia="方正小标宋简体" w:cs="方正小标宋简体"/>
          <w:b w:val="0"/>
          <w:bCs w:val="0"/>
          <w:color w:val="auto"/>
          <w:kern w:val="2"/>
          <w:sz w:val="32"/>
          <w:szCs w:val="32"/>
          <w:lang w:val="en-US" w:eastAsia="zh-CN" w:bidi="ar"/>
        </w:rPr>
      </w:pPr>
      <w:bookmarkStart w:id="0" w:name="_GoBack"/>
      <w:r>
        <w:rPr>
          <w:rFonts w:hint="eastAsia" w:ascii="方正小标宋简体" w:hAnsi="方正小标宋简体" w:eastAsia="方正小标宋简体" w:cs="方正小标宋简体"/>
          <w:b w:val="0"/>
          <w:bCs w:val="0"/>
          <w:color w:val="auto"/>
          <w:kern w:val="2"/>
          <w:sz w:val="32"/>
          <w:szCs w:val="32"/>
          <w:lang w:val="en-US" w:eastAsia="zh-CN" w:bidi="ar"/>
        </w:rPr>
        <w:t>金华职业技术大学关于实施“活力校园</w:t>
      </w:r>
      <w:r>
        <w:rPr>
          <w:rFonts w:hint="eastAsia" w:hAnsi="方正小标宋简体" w:cs="方正小标宋简体"/>
          <w:b w:val="0"/>
          <w:bCs w:val="0"/>
          <w:color w:val="auto"/>
          <w:kern w:val="2"/>
          <w:sz w:val="32"/>
          <w:szCs w:val="32"/>
          <w:lang w:val="en-US" w:eastAsia="zh-CN" w:bidi="ar"/>
        </w:rPr>
        <w:t xml:space="preserve"> </w:t>
      </w:r>
      <w:r>
        <w:rPr>
          <w:rFonts w:hint="eastAsia" w:ascii="方正小标宋简体" w:hAnsi="方正小标宋简体" w:eastAsia="方正小标宋简体" w:cs="方正小标宋简体"/>
          <w:b w:val="0"/>
          <w:bCs w:val="0"/>
          <w:color w:val="auto"/>
          <w:kern w:val="2"/>
          <w:sz w:val="32"/>
          <w:szCs w:val="32"/>
          <w:lang w:val="en-US" w:eastAsia="zh-CN" w:bidi="ar"/>
        </w:rPr>
        <w:t>浙青健行”大学生体质提升专项行动任务分解清单</w:t>
      </w:r>
    </w:p>
    <w:bookmarkEnd w:id="0"/>
    <w:tbl>
      <w:tblPr>
        <w:tblStyle w:val="4"/>
        <w:tblW w:w="150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7"/>
        <w:gridCol w:w="1862"/>
        <w:gridCol w:w="7260"/>
        <w:gridCol w:w="3255"/>
        <w:gridCol w:w="2034"/>
      </w:tblGrid>
      <w:tr w14:paraId="2FA8D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blHeader/>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2E80">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序号</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91DC">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任务名称</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D8D0">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责任清单</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4C7E">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责任部门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191F">
            <w:pPr>
              <w:keepNext w:val="0"/>
              <w:keepLines w:val="0"/>
              <w:widowControl/>
              <w:suppressLineNumbers w:val="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完成时限</w:t>
            </w:r>
          </w:p>
        </w:tc>
      </w:tr>
      <w:tr w14:paraId="38D53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DA5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FC1F8">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完善体育考核机制</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B5C3">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将体育工作纳入学校总体发展规划和年度工作计划</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AC74">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发规处</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E32C">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2026年4月底前</w:t>
            </w:r>
          </w:p>
        </w:tc>
      </w:tr>
      <w:tr w14:paraId="2A4C3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4510">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67086">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D0FE">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将学生体质健康工作纳入年度目标责任考核体系</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AE76">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考核办</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7E7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2026年4月底前</w:t>
            </w:r>
          </w:p>
        </w:tc>
      </w:tr>
      <w:tr w14:paraId="1F275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302D">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49B38">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A2D2">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将学生体质健康结果纳入学生综合素质测评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290E">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学工部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F47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2026年6月底前</w:t>
            </w:r>
          </w:p>
        </w:tc>
      </w:tr>
      <w:tr w14:paraId="333B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319A">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05541">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B364C">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highlight w:val="none"/>
                <w:u w:val="none"/>
                <w:lang w:val="en-US" w:eastAsia="zh-CN" w:bidi="ar"/>
              </w:rPr>
              <w:t>专业学院由分管领导负责统筹落实，明确日常体育管理工作人员，将体质健康提升工作纳入学院年度重点工作任务，做好日常体育活动组织、学生体质健康数据统计及体质提升效果跟踪</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3E36">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专业学院</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A8FC">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2026年4月底前</w:t>
            </w:r>
          </w:p>
        </w:tc>
      </w:tr>
      <w:tr w14:paraId="5F5F7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6DFC">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F404B">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强化部门协同机制</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D910">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建立健全校领导带头参与机制，每学期开展一次“校长书记陪练”活动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6401">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办公室、学工部、公共基础学院（军事与体育工作部）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521B">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54BFA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11A4">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F560B">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68E3">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每学期开展一次学生体质健康形势研判会</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D56F">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学工部、公共基础学院（军事与体育工作部）、专业学院</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A3AC">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2026年每学期末</w:t>
            </w:r>
          </w:p>
        </w:tc>
      </w:tr>
      <w:tr w14:paraId="6B868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tcBorders>
              <w:top w:val="single" w:color="000000" w:sz="4" w:space="0"/>
              <w:left w:val="single" w:color="000000" w:sz="4" w:space="0"/>
              <w:bottom w:val="nil"/>
              <w:right w:val="single" w:color="000000" w:sz="4" w:space="0"/>
            </w:tcBorders>
            <w:shd w:val="clear" w:color="auto" w:fill="auto"/>
            <w:noWrap/>
            <w:vAlign w:val="center"/>
          </w:tcPr>
          <w:p w14:paraId="334C8E94">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3</w:t>
            </w:r>
          </w:p>
        </w:tc>
        <w:tc>
          <w:tcPr>
            <w:tcW w:w="1862" w:type="dxa"/>
            <w:tcBorders>
              <w:top w:val="single" w:color="000000" w:sz="4" w:space="0"/>
              <w:left w:val="single" w:color="000000" w:sz="4" w:space="0"/>
              <w:bottom w:val="nil"/>
              <w:right w:val="single" w:color="000000" w:sz="4" w:space="0"/>
            </w:tcBorders>
            <w:shd w:val="clear" w:color="auto" w:fill="auto"/>
            <w:vAlign w:val="center"/>
          </w:tcPr>
          <w:p w14:paraId="3B9B438F">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深化体育课堂改革</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DD8B">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落实体育课规定最低学时要求。</w:t>
            </w:r>
            <w:r>
              <w:rPr>
                <w:rFonts w:hint="eastAsia" w:ascii="Times New Roman" w:hAnsi="Times New Roman" w:eastAsia="仿宋_GB2312" w:cs="Times New Roman"/>
                <w:i w:val="0"/>
                <w:iCs w:val="0"/>
                <w:color w:val="000000"/>
                <w:kern w:val="0"/>
                <w:sz w:val="24"/>
                <w:szCs w:val="24"/>
                <w:u w:val="none"/>
                <w:lang w:val="en-US" w:eastAsia="zh-CN" w:bidi="ar"/>
              </w:rPr>
              <w:br w:type="textWrapping"/>
            </w:r>
            <w:r>
              <w:rPr>
                <w:rFonts w:hint="eastAsia" w:ascii="Times New Roman" w:hAnsi="Times New Roman" w:eastAsia="仿宋_GB2312" w:cs="Times New Roman"/>
                <w:i w:val="0"/>
                <w:iCs w:val="0"/>
                <w:color w:val="000000"/>
                <w:kern w:val="0"/>
                <w:sz w:val="24"/>
                <w:szCs w:val="24"/>
                <w:u w:val="none"/>
                <w:lang w:val="en-US" w:eastAsia="zh-CN" w:bidi="ar"/>
              </w:rPr>
              <w:t>探索本科三年级体育选修及混合式课程</w:t>
            </w:r>
          </w:p>
        </w:tc>
        <w:tc>
          <w:tcPr>
            <w:tcW w:w="3255" w:type="dxa"/>
            <w:tcBorders>
              <w:top w:val="single" w:color="000000" w:sz="4" w:space="0"/>
              <w:left w:val="single" w:color="000000" w:sz="4" w:space="0"/>
              <w:bottom w:val="nil"/>
              <w:right w:val="single" w:color="000000" w:sz="4" w:space="0"/>
            </w:tcBorders>
            <w:shd w:val="clear" w:color="auto" w:fill="auto"/>
            <w:vAlign w:val="center"/>
          </w:tcPr>
          <w:p w14:paraId="57B3B2D8">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教务处、公共基础学院（军事与体育工作部）</w:t>
            </w:r>
          </w:p>
        </w:tc>
        <w:tc>
          <w:tcPr>
            <w:tcW w:w="2034" w:type="dxa"/>
            <w:tcBorders>
              <w:top w:val="single" w:color="000000" w:sz="4" w:space="0"/>
              <w:left w:val="single" w:color="000000" w:sz="4" w:space="0"/>
              <w:bottom w:val="nil"/>
              <w:right w:val="single" w:color="000000" w:sz="4" w:space="0"/>
            </w:tcBorders>
            <w:shd w:val="clear" w:color="auto" w:fill="auto"/>
            <w:vAlign w:val="center"/>
          </w:tcPr>
          <w:p w14:paraId="132AC357">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2026年6月底前</w:t>
            </w:r>
          </w:p>
        </w:tc>
      </w:tr>
      <w:tr w14:paraId="6760C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4E07">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4</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66BF2F">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探索职业融入体育教学</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F7A4">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开设“久坐职业健康素养与职业体能提升”选修模块</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AC2E">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公共基础学院（军事与体育工作部）</w:t>
            </w:r>
          </w:p>
        </w:tc>
        <w:tc>
          <w:tcPr>
            <w:tcW w:w="2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CD595">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2026年6月底前</w:t>
            </w:r>
          </w:p>
        </w:tc>
      </w:tr>
      <w:tr w14:paraId="38AFA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A099">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5F886">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C63E">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建立课外锻炼、社团活动及竞赛经历纳入学生综合素质评价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A48E">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专业学院</w:t>
            </w:r>
          </w:p>
        </w:tc>
        <w:tc>
          <w:tcPr>
            <w:tcW w:w="2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B5821">
            <w:pPr>
              <w:jc w:val="center"/>
              <w:rPr>
                <w:rFonts w:hint="eastAsia" w:ascii="Times New Roman" w:hAnsi="Times New Roman" w:eastAsia="仿宋_GB2312" w:cs="Times New Roman"/>
                <w:i w:val="0"/>
                <w:iCs w:val="0"/>
                <w:color w:val="000000"/>
                <w:sz w:val="24"/>
                <w:szCs w:val="24"/>
                <w:u w:val="none"/>
              </w:rPr>
            </w:pPr>
          </w:p>
        </w:tc>
      </w:tr>
      <w:tr w14:paraId="1D6D4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2CC3">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5</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6AEB4">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打造“专兼结合”师资格局</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FB42">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将重点引进高水平教练及退役运动员纳入进人计划</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9125">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人事处、公共基础学院（军事与体育工作部）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1FD1">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2026年4月</w:t>
            </w:r>
          </w:p>
        </w:tc>
      </w:tr>
      <w:tr w14:paraId="12434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0C80">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50749">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94A8">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积极寻求与体育运动专业机构等社会力量合作</w:t>
            </w:r>
          </w:p>
        </w:tc>
        <w:tc>
          <w:tcPr>
            <w:tcW w:w="32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46DD2">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公共基础学院（军事与体育工作部）</w:t>
            </w:r>
          </w:p>
        </w:tc>
        <w:tc>
          <w:tcPr>
            <w:tcW w:w="2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3F2C9">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w:t>
            </w:r>
          </w:p>
        </w:tc>
      </w:tr>
      <w:tr w14:paraId="7DFCE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71F8">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F3C24">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4385">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支持和鼓励教师加强业务培训、努力考取职业资格证书和深入一线实践，全面提升教学、赛事指导及体质干预能力</w:t>
            </w:r>
          </w:p>
        </w:tc>
        <w:tc>
          <w:tcPr>
            <w:tcW w:w="32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D1675">
            <w:pPr>
              <w:jc w:val="center"/>
              <w:rPr>
                <w:rFonts w:hint="eastAsia" w:ascii="Times New Roman" w:hAnsi="Times New Roman" w:eastAsia="仿宋_GB2312" w:cs="Times New Roman"/>
                <w:i w:val="0"/>
                <w:iCs w:val="0"/>
                <w:color w:val="000000"/>
                <w:sz w:val="24"/>
                <w:szCs w:val="24"/>
                <w:u w:val="none"/>
              </w:rPr>
            </w:pPr>
          </w:p>
        </w:tc>
        <w:tc>
          <w:tcPr>
            <w:tcW w:w="2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6711F">
            <w:pPr>
              <w:jc w:val="center"/>
              <w:rPr>
                <w:rFonts w:hint="eastAsia" w:ascii="Times New Roman" w:hAnsi="Times New Roman" w:eastAsia="仿宋_GB2312" w:cs="Times New Roman"/>
                <w:i w:val="0"/>
                <w:iCs w:val="0"/>
                <w:color w:val="000000"/>
                <w:sz w:val="24"/>
                <w:szCs w:val="24"/>
                <w:u w:val="none"/>
              </w:rPr>
            </w:pPr>
          </w:p>
        </w:tc>
      </w:tr>
      <w:tr w14:paraId="29BE5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DE78">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6</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30800">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营造“金职青年爱运动”的青春风尚</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2F53">
            <w:pPr>
              <w:keepNext w:val="0"/>
              <w:keepLines w:val="0"/>
              <w:widowControl/>
              <w:numPr>
                <w:ilvl w:val="0"/>
                <w:numId w:val="0"/>
              </w:numPr>
              <w:suppressLineNumbers w:val="0"/>
              <w:jc w:val="left"/>
              <w:textAlignment w:val="center"/>
              <w:rPr>
                <w:rFonts w:hint="eastAsia" w:ascii="Times New Roman" w:hAnsi="Times New Roman" w:eastAsia="仿宋_GB2312" w:cs="Times New Roman"/>
                <w:i w:val="0"/>
                <w:iCs w:val="0"/>
                <w:color w:val="000000"/>
                <w:kern w:val="0"/>
                <w:sz w:val="24"/>
                <w:szCs w:val="24"/>
                <w:highlight w:val="none"/>
                <w:u w:val="none"/>
                <w:lang w:val="en-US" w:eastAsia="zh-CN" w:bidi="ar"/>
              </w:rPr>
            </w:pPr>
            <w:r>
              <w:rPr>
                <w:rFonts w:hint="eastAsia" w:ascii="Times New Roman" w:hAnsi="Times New Roman" w:eastAsia="仿宋_GB2312" w:cs="Times New Roman"/>
                <w:i w:val="0"/>
                <w:iCs w:val="0"/>
                <w:color w:val="000000"/>
                <w:kern w:val="0"/>
                <w:sz w:val="24"/>
                <w:szCs w:val="24"/>
                <w:highlight w:val="none"/>
                <w:u w:val="none"/>
                <w:lang w:val="en-US" w:eastAsia="zh-CN" w:bidi="ar"/>
              </w:rPr>
              <w:t>统筹校园体育文化建设，广泛开展主题体育赛事、趣味健身活动与运动宣传引导，常态化组织团学骨干示范带动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0B6E">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校团委、公共基础学院（军事与体育工作部）</w:t>
            </w:r>
          </w:p>
        </w:tc>
        <w:tc>
          <w:tcPr>
            <w:tcW w:w="2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A7C47">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w:t>
            </w:r>
          </w:p>
        </w:tc>
      </w:tr>
      <w:tr w14:paraId="62E46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805F">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7252E">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3186">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常态组织班级趣味赛，并面向全校学生每年至少培育一项常态化锻炼项目和承办一项体育特色赛事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40E2">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专业学院</w:t>
            </w:r>
          </w:p>
        </w:tc>
        <w:tc>
          <w:tcPr>
            <w:tcW w:w="2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CC556">
            <w:pPr>
              <w:jc w:val="center"/>
              <w:rPr>
                <w:rFonts w:hint="eastAsia" w:ascii="Times New Roman" w:hAnsi="Times New Roman" w:eastAsia="仿宋_GB2312" w:cs="Times New Roman"/>
                <w:i w:val="0"/>
                <w:iCs w:val="0"/>
                <w:color w:val="000000"/>
                <w:sz w:val="24"/>
                <w:szCs w:val="24"/>
                <w:u w:val="none"/>
              </w:rPr>
            </w:pPr>
          </w:p>
        </w:tc>
      </w:tr>
      <w:tr w14:paraId="19516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tcBorders>
              <w:top w:val="single" w:color="000000" w:sz="4" w:space="0"/>
              <w:left w:val="single" w:color="000000" w:sz="4" w:space="0"/>
              <w:bottom w:val="nil"/>
              <w:right w:val="single" w:color="000000" w:sz="4" w:space="0"/>
            </w:tcBorders>
            <w:shd w:val="clear" w:color="auto" w:fill="auto"/>
            <w:noWrap/>
            <w:vAlign w:val="center"/>
          </w:tcPr>
          <w:p w14:paraId="2215A961">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7</w:t>
            </w:r>
          </w:p>
        </w:tc>
        <w:tc>
          <w:tcPr>
            <w:tcW w:w="1862" w:type="dxa"/>
            <w:tcBorders>
              <w:top w:val="single" w:color="000000" w:sz="4" w:space="0"/>
              <w:left w:val="single" w:color="000000" w:sz="4" w:space="0"/>
              <w:bottom w:val="nil"/>
              <w:right w:val="single" w:color="000000" w:sz="4" w:space="0"/>
            </w:tcBorders>
            <w:shd w:val="clear" w:color="auto" w:fill="auto"/>
            <w:vAlign w:val="center"/>
          </w:tcPr>
          <w:p w14:paraId="098EF9D7">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深化阳光长跑品牌</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567D">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常态化开展“月度、年度长跑之星”评选</w:t>
            </w:r>
            <w:r>
              <w:rPr>
                <w:rFonts w:hint="eastAsia" w:ascii="Times New Roman" w:hAnsi="Times New Roman" w:eastAsia="仿宋_GB2312" w:cs="Times New Roman"/>
                <w:i w:val="0"/>
                <w:iCs w:val="0"/>
                <w:color w:val="000000"/>
                <w:kern w:val="0"/>
                <w:sz w:val="24"/>
                <w:szCs w:val="24"/>
                <w:u w:val="none"/>
                <w:lang w:val="en-US" w:eastAsia="zh-CN" w:bidi="ar"/>
              </w:rPr>
              <w:br w:type="textWrapping"/>
            </w:r>
            <w:r>
              <w:rPr>
                <w:rFonts w:hint="eastAsia" w:ascii="Times New Roman" w:hAnsi="Times New Roman" w:eastAsia="仿宋_GB2312" w:cs="Times New Roman"/>
                <w:i w:val="0"/>
                <w:iCs w:val="0"/>
                <w:color w:val="000000"/>
                <w:kern w:val="0"/>
                <w:sz w:val="24"/>
                <w:szCs w:val="24"/>
                <w:u w:val="none"/>
                <w:lang w:val="en-US" w:eastAsia="zh-CN" w:bidi="ar"/>
              </w:rPr>
              <w:t>完善阳光长跑日常锻炼打卡情况纳入体育课程过程性评价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5313">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A83F4">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每月、每学期</w:t>
            </w:r>
          </w:p>
        </w:tc>
      </w:tr>
      <w:tr w14:paraId="709DE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16B6">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8</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2AFBB">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举办校园品牌赛事</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CFE2">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构建竞技体育赛事，做好做优校运会、校园马拉松等传统赛事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3C72">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8101">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4487E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FA63">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0A084">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00AC">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构建校园快乐体育赛事，做深做实“金职青年爱运动”校园运动快乐赛</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6BB8">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校团委</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9C3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7EC97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1D14">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9</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20E6">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推动“赛教融合”发展</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93B5">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打造建立学院专业特色“一院一品”赛事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A9D1">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专业学院、公共基础学院（军事与体育工作部）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5801">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716F5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76A6">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10</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3B13">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打造“金职悦跑”特色品牌</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B4C0">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highlight w:val="none"/>
                <w:u w:val="none"/>
              </w:rPr>
            </w:pPr>
            <w:r>
              <w:rPr>
                <w:rFonts w:hint="eastAsia" w:ascii="Times New Roman" w:hAnsi="Times New Roman" w:eastAsia="仿宋_GB2312" w:cs="Times New Roman"/>
                <w:i w:val="0"/>
                <w:iCs w:val="0"/>
                <w:color w:val="000000"/>
                <w:sz w:val="24"/>
                <w:szCs w:val="24"/>
                <w:highlight w:val="none"/>
                <w:u w:val="none"/>
                <w:lang w:val="en-US" w:eastAsia="zh-CN"/>
              </w:rPr>
              <w:t>开展“音乐跑”、“彩虹跑”等特色品牌建设</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5BC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校团委、公共基础学院（军事与体育工作部）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401E">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43DB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63E1">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11</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FBB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弘扬“冠军精神”文化</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C222">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常态化开展“冠军进校园”活动，邀请高水平运动员走进校园分享成长故事、传递冠军精神</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CA0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宣传部、校团委、公共基础学院（军事与体育工作部）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E2E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456D7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A1E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12</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DB60">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选树青春运动榜样</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9C72">
            <w:pPr>
              <w:keepNext w:val="0"/>
              <w:keepLines w:val="0"/>
              <w:widowControl/>
              <w:suppressLineNumbers w:val="0"/>
              <w:jc w:val="left"/>
              <w:textAlignment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highlight w:val="none"/>
                <w:u w:val="none"/>
                <w:lang w:val="en-US" w:eastAsia="zh-CN" w:bidi="ar"/>
              </w:rPr>
              <w:t>挖掘校园体育文化的优秀成果，强化“青春运动达人”“文体标兵”等典型引领与宣传推广</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93D8">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校团委</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CD0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1ACDC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4B5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13</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CCE45">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扩容增效场馆服务</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4889">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风雨体育场地改造，完成集篮球、排球、匹克球混合使用的地面及顶棚建设</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0F8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后勤处、公共基础学院（军事与体育工作部）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562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2026年10月底前</w:t>
            </w:r>
          </w:p>
        </w:tc>
      </w:tr>
      <w:tr w14:paraId="02097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5F89">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3BCA6">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12E7">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落实体育场地向学生预约开放</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A22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信息中心、公共基础学院（军事与体育工作部）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6A019">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2026年4月底前</w:t>
            </w:r>
          </w:p>
        </w:tc>
      </w:tr>
      <w:tr w14:paraId="705CA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A26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14</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8DB7">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健全设施运维体系</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593F">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优化“日常巡查—定期检修—应急修复”三级运维机制</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31DC">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后勤处、信息中心、公共基础学院（军事与体育工作部）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6D6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2026年6月底前</w:t>
            </w:r>
          </w:p>
        </w:tc>
      </w:tr>
      <w:tr w14:paraId="2F52D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9378">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15</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46A6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搭建智慧体育平台</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27A44">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申报建设智能化体测系统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36DE">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公共基础学院（军事与体育工作部）</w:t>
            </w:r>
          </w:p>
        </w:tc>
        <w:tc>
          <w:tcPr>
            <w:tcW w:w="2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03207">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4B340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4CD7">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C6C39">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24C6">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搭建综合管理服务平台</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6AA8">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信息中心</w:t>
            </w:r>
          </w:p>
        </w:tc>
        <w:tc>
          <w:tcPr>
            <w:tcW w:w="2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4F06F">
            <w:pPr>
              <w:jc w:val="center"/>
              <w:rPr>
                <w:rFonts w:hint="eastAsia" w:ascii="Times New Roman" w:hAnsi="Times New Roman" w:eastAsia="仿宋_GB2312" w:cs="Times New Roman"/>
                <w:i w:val="0"/>
                <w:iCs w:val="0"/>
                <w:color w:val="000000"/>
                <w:sz w:val="24"/>
                <w:szCs w:val="24"/>
                <w:u w:val="none"/>
              </w:rPr>
            </w:pPr>
          </w:p>
        </w:tc>
      </w:tr>
      <w:tr w14:paraId="4381D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0EC0">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16</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E9D5">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建立全周期电子档案</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A5D3">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搭建“入学—毕业”全周期学生运动电子档案平台</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6BFC">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信息中心、公共基础学院（军事与体育工作部）</w:t>
            </w: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78B0">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11164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2E17">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17</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DC7BA6">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强化体质监测约束</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CD1A">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针对全校学生每学年开展一次体质健康测试</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6AB9">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公共基础学院（军事与体育工作部）</w:t>
            </w:r>
          </w:p>
        </w:tc>
        <w:tc>
          <w:tcPr>
            <w:tcW w:w="2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FA01F">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2026年6月底前</w:t>
            </w:r>
          </w:p>
        </w:tc>
      </w:tr>
      <w:tr w14:paraId="3B841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E536">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D1EEA">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6D6F">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强化体质健康成绩在学生毕业考核中的应用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27EA">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教务处</w:t>
            </w:r>
          </w:p>
        </w:tc>
        <w:tc>
          <w:tcPr>
            <w:tcW w:w="2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2ACAB">
            <w:pPr>
              <w:jc w:val="center"/>
              <w:rPr>
                <w:rFonts w:hint="eastAsia" w:ascii="Times New Roman" w:hAnsi="Times New Roman" w:eastAsia="仿宋_GB2312" w:cs="Times New Roman"/>
                <w:i w:val="0"/>
                <w:iCs w:val="0"/>
                <w:color w:val="000000"/>
                <w:sz w:val="24"/>
                <w:szCs w:val="24"/>
                <w:u w:val="none"/>
              </w:rPr>
            </w:pPr>
          </w:p>
        </w:tc>
      </w:tr>
      <w:tr w14:paraId="78A59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EDA2">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18</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ABFD4">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推进数据精准指导</w:t>
            </w: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F5A0">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体育运动数字化校园建设，通过“金色年华”APP查看个人运动轨迹记录、体测数据情况</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0F8D">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信息中心、公共基础学院（军事与体育工作部）</w:t>
            </w:r>
          </w:p>
        </w:tc>
        <w:tc>
          <w:tcPr>
            <w:tcW w:w="2034" w:type="dxa"/>
            <w:vMerge w:val="restart"/>
            <w:tcBorders>
              <w:top w:val="single" w:color="000000" w:sz="4" w:space="0"/>
              <w:left w:val="single" w:color="000000" w:sz="4" w:space="0"/>
              <w:right w:val="single" w:color="000000" w:sz="4" w:space="0"/>
            </w:tcBorders>
            <w:shd w:val="clear" w:color="auto" w:fill="auto"/>
            <w:vAlign w:val="center"/>
          </w:tcPr>
          <w:p w14:paraId="631C4C54">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2026年12月底前</w:t>
            </w:r>
          </w:p>
        </w:tc>
      </w:tr>
      <w:tr w14:paraId="30299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35DC">
            <w:pPr>
              <w:jc w:val="center"/>
              <w:rPr>
                <w:rFonts w:hint="eastAsia" w:ascii="Times New Roman" w:hAnsi="Times New Roman" w:eastAsia="仿宋_GB2312" w:cs="Times New Roman"/>
                <w:i w:val="0"/>
                <w:iCs w:val="0"/>
                <w:color w:val="000000"/>
                <w:sz w:val="24"/>
                <w:szCs w:val="24"/>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A4827">
            <w:pPr>
              <w:jc w:val="center"/>
              <w:rPr>
                <w:rFonts w:hint="eastAsia" w:ascii="Times New Roman" w:hAnsi="Times New Roman" w:eastAsia="仿宋_GB2312" w:cs="Times New Roman"/>
                <w:i w:val="0"/>
                <w:iCs w:val="0"/>
                <w:color w:val="000000"/>
                <w:sz w:val="24"/>
                <w:szCs w:val="24"/>
                <w:u w:val="none"/>
              </w:rPr>
            </w:pPr>
          </w:p>
        </w:tc>
        <w:tc>
          <w:tcPr>
            <w:tcW w:w="7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69B2">
            <w:pPr>
              <w:keepNext w:val="0"/>
              <w:keepLines w:val="0"/>
              <w:widowControl/>
              <w:suppressLineNumbers w:val="0"/>
              <w:jc w:val="left"/>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落实体测成绩预警与针对性指导</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DDB5">
            <w:pPr>
              <w:keepNext w:val="0"/>
              <w:keepLines w:val="0"/>
              <w:widowControl/>
              <w:suppressLineNumbers w:val="0"/>
              <w:jc w:val="center"/>
              <w:textAlignment w:val="center"/>
              <w:rPr>
                <w:rFonts w:hint="eastAsia" w:ascii="Times New Roman" w:hAnsi="Times New Roman" w:eastAsia="仿宋_GB2312" w:cs="Times New Roman"/>
                <w:i w:val="0"/>
                <w:iCs w:val="0"/>
                <w:color w:val="000000"/>
                <w:sz w:val="24"/>
                <w:szCs w:val="24"/>
                <w:u w:val="none"/>
              </w:rPr>
            </w:pPr>
            <w:r>
              <w:rPr>
                <w:rFonts w:hint="eastAsia" w:ascii="Times New Roman" w:hAnsi="Times New Roman" w:eastAsia="仿宋_GB2312" w:cs="Times New Roman"/>
                <w:i w:val="0"/>
                <w:iCs w:val="0"/>
                <w:color w:val="000000"/>
                <w:kern w:val="0"/>
                <w:sz w:val="24"/>
                <w:szCs w:val="24"/>
                <w:u w:val="none"/>
                <w:lang w:val="en-US" w:eastAsia="zh-CN" w:bidi="ar"/>
              </w:rPr>
              <w:t>公共基础学院（军事与体育工作部）、专业学院</w:t>
            </w:r>
          </w:p>
        </w:tc>
        <w:tc>
          <w:tcPr>
            <w:tcW w:w="2034" w:type="dxa"/>
            <w:vMerge w:val="continue"/>
            <w:tcBorders>
              <w:left w:val="single" w:color="000000" w:sz="4" w:space="0"/>
              <w:bottom w:val="single" w:color="000000" w:sz="4" w:space="0"/>
              <w:right w:val="single" w:color="000000" w:sz="4" w:space="0"/>
            </w:tcBorders>
            <w:shd w:val="clear" w:color="auto" w:fill="auto"/>
            <w:vAlign w:val="center"/>
          </w:tcPr>
          <w:p w14:paraId="4A8B95DF">
            <w:pPr>
              <w:jc w:val="center"/>
              <w:rPr>
                <w:rFonts w:hint="eastAsia" w:ascii="Times New Roman" w:hAnsi="Times New Roman" w:eastAsia="仿宋_GB2312" w:cs="Times New Roman"/>
                <w:i w:val="0"/>
                <w:iCs w:val="0"/>
                <w:color w:val="000000"/>
                <w:sz w:val="24"/>
                <w:szCs w:val="24"/>
                <w:u w:val="none"/>
              </w:rPr>
            </w:pPr>
          </w:p>
        </w:tc>
      </w:tr>
    </w:tbl>
    <w:p w14:paraId="7333483A"/>
    <w:sectPr>
      <w:footerReference r:id="rId3" w:type="default"/>
      <w:pgSz w:w="16838" w:h="11906" w:orient="landscape"/>
      <w:pgMar w:top="1417" w:right="1417" w:bottom="1417" w:left="1417"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C194AD-AB53-4DFC-9039-AC16FFF7864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359DE21-646B-461F-B9E4-D7C000036A77}"/>
  </w:font>
  <w:font w:name="方正小标宋简体">
    <w:panose1 w:val="02010600010101010101"/>
    <w:charset w:val="86"/>
    <w:family w:val="auto"/>
    <w:pitch w:val="default"/>
    <w:sig w:usb0="00000001" w:usb1="080E0000" w:usb2="00000000" w:usb3="00000000" w:csb0="00040000" w:csb1="00000000"/>
    <w:embedRegular r:id="rId3" w:fontKey="{D332FC02-4E1E-4C9F-8F9E-C55B2D04A469}"/>
  </w:font>
  <w:font w:name="仿宋_GB2312">
    <w:panose1 w:val="02010609030101010101"/>
    <w:charset w:val="86"/>
    <w:family w:val="modern"/>
    <w:pitch w:val="default"/>
    <w:sig w:usb0="00000001" w:usb1="080E0000" w:usb2="00000000" w:usb3="00000000" w:csb0="00040000" w:csb1="00000000"/>
    <w:embedRegular r:id="rId4" w:fontKey="{AC12A507-B0C0-4203-B9F2-7718614E9D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9463A">
    <w:pPr>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AE748">
                          <w:pPr>
                            <w:pStyle w:val="3"/>
                            <w:rPr>
                              <w:rFonts w:ascii="Times New Roman" w:hAnsi="Times New Roman"/>
                            </w:rPr>
                          </w:pPr>
                          <w:r>
                            <w:rPr>
                              <w:rFonts w:ascii="Times New Roman" w:hAnsi="Times New Roman"/>
                              <w:sz w:val="28"/>
                              <w:szCs w:val="44"/>
                            </w:rPr>
                            <w:fldChar w:fldCharType="begin"/>
                          </w:r>
                          <w:r>
                            <w:rPr>
                              <w:rFonts w:ascii="Times New Roman" w:hAnsi="Times New Roman"/>
                              <w:sz w:val="28"/>
                              <w:szCs w:val="44"/>
                            </w:rPr>
                            <w:instrText xml:space="preserve"> PAGE  \* MERGEFORMAT </w:instrText>
                          </w:r>
                          <w:r>
                            <w:rPr>
                              <w:rFonts w:ascii="Times New Roman" w:hAnsi="Times New Roman"/>
                              <w:sz w:val="28"/>
                              <w:szCs w:val="44"/>
                            </w:rPr>
                            <w:fldChar w:fldCharType="separate"/>
                          </w:r>
                          <w:r>
                            <w:rPr>
                              <w:rFonts w:ascii="Times New Roman" w:hAnsi="Times New Roman"/>
                              <w:sz w:val="28"/>
                              <w:szCs w:val="44"/>
                            </w:rPr>
                            <w:t>- 1 -</w:t>
                          </w:r>
                          <w:r>
                            <w:rPr>
                              <w:rFonts w:ascii="Times New Roman" w:hAnsi="Times New Roman"/>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9AE748">
                    <w:pPr>
                      <w:pStyle w:val="3"/>
                      <w:rPr>
                        <w:rFonts w:ascii="Times New Roman" w:hAnsi="Times New Roman"/>
                      </w:rPr>
                    </w:pPr>
                    <w:r>
                      <w:rPr>
                        <w:rFonts w:ascii="Times New Roman" w:hAnsi="Times New Roman"/>
                        <w:sz w:val="28"/>
                        <w:szCs w:val="44"/>
                      </w:rPr>
                      <w:fldChar w:fldCharType="begin"/>
                    </w:r>
                    <w:r>
                      <w:rPr>
                        <w:rFonts w:ascii="Times New Roman" w:hAnsi="Times New Roman"/>
                        <w:sz w:val="28"/>
                        <w:szCs w:val="44"/>
                      </w:rPr>
                      <w:instrText xml:space="preserve"> PAGE  \* MERGEFORMAT </w:instrText>
                    </w:r>
                    <w:r>
                      <w:rPr>
                        <w:rFonts w:ascii="Times New Roman" w:hAnsi="Times New Roman"/>
                        <w:sz w:val="28"/>
                        <w:szCs w:val="44"/>
                      </w:rPr>
                      <w:fldChar w:fldCharType="separate"/>
                    </w:r>
                    <w:r>
                      <w:rPr>
                        <w:rFonts w:ascii="Times New Roman" w:hAnsi="Times New Roman"/>
                        <w:sz w:val="28"/>
                        <w:szCs w:val="44"/>
                      </w:rPr>
                      <w:t>- 1 -</w:t>
                    </w:r>
                    <w:r>
                      <w:rPr>
                        <w:rFonts w:ascii="Times New Roman" w:hAnsi="Times New Roman"/>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BB3C8B"/>
    <w:rsid w:val="24BB3C8B"/>
    <w:rsid w:val="5ACE5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1"/>
    <w:pPr>
      <w:keepNext/>
      <w:keepLines/>
      <w:shd w:val="clear" w:color="auto" w:fill="FFFFFF"/>
      <w:spacing w:before="260" w:after="260" w:line="412" w:lineRule="auto"/>
    </w:pPr>
    <w:rPr>
      <w:rFonts w:ascii="方正小标宋简体" w:eastAsia="方正小标宋简体"/>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2026-03-27T03:15:00Z</dcterms:created>
  <dc:creator>陈侃</dc:creator>
  <cp:lastModifiedBy>陈侃</cp:lastModifiedBy>
  <dcterms:modified xsi:type="dcterms:W3CDTF">2026-03-27T03:17:01Z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EEDD0255ECB843DF8544A61A1DCF19F5_11</vt:lpwstr>
  </property>
  <property fmtid="{D5CDD505-2E9C-101B-9397-08002B2CF9AE}" pid="4" name="KSOTemplateDocerSaveRecord">
    <vt:lpwstr>eyJoZGlkIjoiOWI1YTY2ODgwMzEzMTM1YjA1ZTdiMTYyOWUzOTNiZDUiLCJ1c2VySWQiOiI1MzY2NjI2NjAifQ==</vt:lpwstr>
  </property>
</Properties>
</file>